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Modos de falha do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hoshin kanri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no longo prazo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35"/>
        <w:gridCol w:w="810"/>
        <w:gridCol w:w="900"/>
        <w:gridCol w:w="805"/>
        <w:tblGridChange w:id="0">
          <w:tblGrid>
            <w:gridCol w:w="6835"/>
            <w:gridCol w:w="810"/>
            <w:gridCol w:w="900"/>
            <w:gridCol w:w="8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Modo de falha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Sim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Talvez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36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Liderança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10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Processo/prática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10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liderança não está engajada, em especial o responsável pelos resultados do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hoshin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na empresa.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after="10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Houve rotatividade da liderança nos primeiros anos, antes da cultura e da lógica básica serem integradas à empresa.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10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Não há definição clara de “dono” do processo de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hoshin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kanri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10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Sem definição clara de líder para comandar um objetivo de hoshin corporativo.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10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Organização ainda não tem alinhamento horizontal.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10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Lideranças/donos dos objetivos do hoshin não estão bem definidos.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10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Sem cadeia de ajuda formalizada e métodos de apoio não definidos.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Processo/prática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after="10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Prioridades e iniciativas excessivas.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after="10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Sem visualização, revisão constante e apoio para recuperar o atraso do plano.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after="10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Muitas mudanças arbitrárias no que foi planejado para estratégia/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hoshin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after="10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Sem flexibilidade para modificar a estratégia, caso seja necessário.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after="10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Sem revisão do processo de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hoshin kanri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 o objetivo de renová-lo e melhorá-lo de forma constante.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after="10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Ver 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hoshin kanri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somente como um exercício de construção de cultura da empresa e não como um processo que traz resultados para o negócio.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spacing w:after="10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Liderar com ferramentas, ao invés de princípios (p. ex.: PDCA).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spacing w:after="10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Focar demais a própria situação e não considerar os principais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stakeholders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, em especial o cliente.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Pessoas/cultura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spacing w:after="10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Ver 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hoshin kanri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somente como um exercício praticado de “cima para baixo”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top-down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spacing w:after="10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Não reconhecer nem definir concretamente 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hoshin kanri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como uma metodologia de capacitação.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spacing w:after="10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Não ajustar os sistemas de RH para refletir comportamentos e capacidades que apoiam 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hoshin kanri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spacing w:after="10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Não desenvolver capacidades de solução de problemas (o ”músculo”) em toda a organização para apoiar a execução e atingir os objetivos do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hoshin kanri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(o “esqueleto”).¹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REICH, M.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A body needs skeleton and muscles to work.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Lean Enterprise Institute, 5 jun. 2014.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12734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12734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12734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1273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1273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1273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1273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12734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1273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1273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1273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12734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1273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1273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12734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1273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1273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1273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1273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12734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12734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81273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fYo0fI8sFqHNmlg5y98sI1A0iA==">CgMxLjA4AHIhMXZrTG9TajhDeXNMa1VmSDlpb0dCM1VKUDZGTmMwOEZR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2025-02-03T21:27:00Z</dcterms:created>
</cp:coreProperties>
</file>